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BC6917">
      <w:pPr>
        <w:bidi w:val="0"/>
        <w:rPr>
          <w:rFonts w:hint="eastAsia"/>
          <w:lang w:val="en-US" w:eastAsia="zh-CN"/>
        </w:rPr>
      </w:pPr>
    </w:p>
    <w:p w14:paraId="27D12C53">
      <w:pPr>
        <w:pStyle w:val="2"/>
        <w:rPr>
          <w:rFonts w:hint="eastAsia"/>
          <w:lang w:val="en-US" w:eastAsia="zh-CN"/>
        </w:rPr>
      </w:pPr>
    </w:p>
    <w:p w14:paraId="3EC29120">
      <w:pPr>
        <w:bidi w:val="0"/>
        <w:rPr>
          <w:rFonts w:hint="eastAsia"/>
          <w:lang w:val="en-US" w:eastAsia="zh-CN"/>
        </w:rPr>
      </w:pPr>
    </w:p>
    <w:p w14:paraId="7F31A9C5">
      <w:pPr>
        <w:pStyle w:val="2"/>
        <w:rPr>
          <w:rFonts w:hint="eastAsia"/>
          <w:lang w:val="en-US" w:eastAsia="zh-CN"/>
        </w:rPr>
      </w:pPr>
    </w:p>
    <w:p w14:paraId="700A0E26">
      <w:pPr>
        <w:pStyle w:val="2"/>
        <w:rPr>
          <w:rFonts w:hint="eastAsia"/>
          <w:lang w:val="en-US" w:eastAsia="zh-CN"/>
        </w:rPr>
      </w:pPr>
    </w:p>
    <w:p w14:paraId="6BB165E9">
      <w:pPr>
        <w:pStyle w:val="2"/>
        <w:rPr>
          <w:rFonts w:hint="eastAsia"/>
          <w:lang w:val="en-US" w:eastAsia="zh-CN"/>
        </w:rPr>
      </w:pPr>
    </w:p>
    <w:p w14:paraId="03F3BFDD">
      <w:pPr>
        <w:pStyle w:val="2"/>
        <w:rPr>
          <w:rFonts w:hint="eastAsia"/>
          <w:lang w:val="en-US" w:eastAsia="zh-CN"/>
        </w:rPr>
      </w:pPr>
    </w:p>
    <w:p w14:paraId="2E3C9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  <w:lang w:val="en-US" w:eastAsia="zh-CN"/>
        </w:rPr>
      </w:pPr>
      <w:r>
        <w:rPr>
          <w:rFonts w:hint="eastAsia" w:eastAsia="思源黑体 CN Regular"/>
          <w:b/>
          <w:sz w:val="52"/>
          <w:lang w:val="en-US" w:eastAsia="zh-CN"/>
        </w:rPr>
        <w:t>内江市公共资源电子交易平台</w:t>
      </w:r>
    </w:p>
    <w:p w14:paraId="4978CE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default" w:eastAsia="思源黑体 CN Regular"/>
          <w:b/>
          <w:sz w:val="52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850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思源黑体 CN Regular"/>
          <w:b/>
          <w:sz w:val="52"/>
          <w:lang w:val="en-US" w:eastAsia="zh-CN"/>
        </w:rPr>
        <w:t>电子保函用户办事指南（2024年版）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851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392BED70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ascii="Times New Roman" w:hAnsi="Times New Roman" w:eastAsia="思源宋体 CN Light"/>
              <w:b/>
              <w:spacing w:val="198"/>
              <w:kern w:val="20"/>
              <w:sz w:val="32"/>
            </w:rPr>
          </w:pPr>
          <w:r>
            <w:rPr>
              <w:rFonts w:ascii="Times New Roman" w:hAnsi="Times New Roman" w:eastAsia="思源宋体 CN Light"/>
              <w:b/>
              <w:spacing w:val="198"/>
              <w:kern w:val="20"/>
              <w:sz w:val="32"/>
            </w:rPr>
            <w:t>目录</w:t>
          </w:r>
        </w:p>
        <w:p w14:paraId="2FA453B3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_Toc27717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一、 </w:t>
          </w:r>
          <w:r>
            <w:rPr>
              <w:rFonts w:hint="eastAsia"/>
              <w:lang w:val="en-US" w:eastAsia="zh-CN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_Toc27717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3E04311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_Toc16639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1.1、 </w:t>
          </w:r>
          <w:r>
            <w:rPr>
              <w:rFonts w:hint="eastAsia"/>
              <w:lang w:val="en-US" w:eastAsia="zh-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_Toc16639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E632EA1">
          <w:pPr>
            <w:pStyle w:val="13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_Toc13953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1.1.1、 </w:t>
          </w:r>
          <w:r>
            <w:rPr>
              <w:rFonts w:hint="eastAsia"/>
              <w:lang w:val="en-US" w:eastAsia="zh-CN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_Toc13953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7159F1F">
          <w:pPr>
            <w:pStyle w:val="13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_Toc13724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1.1.2、 </w:t>
          </w:r>
          <w:r>
            <w:rPr>
              <w:rFonts w:hint="eastAsia"/>
              <w:lang w:val="en-US" w:eastAsia="zh-CN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_Toc13724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E8D92E8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_Toc10577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二、 </w:t>
          </w:r>
          <w:r>
            <w:rPr>
              <w:rFonts w:hint="eastAsia"/>
              <w:lang w:val="en-US" w:eastAsia="zh-CN"/>
            </w:rPr>
            <w:t>平台登录</w:t>
          </w:r>
          <w:r>
            <w:tab/>
          </w:r>
          <w:r>
            <w:fldChar w:fldCharType="begin"/>
          </w:r>
          <w:r>
            <w:instrText xml:space="preserve"> PAGEREF _Toc10577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5E3EB8E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_Toc2895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三、 </w:t>
          </w:r>
          <w:r>
            <w:rPr>
              <w:rFonts w:hint="eastAsia"/>
              <w:lang w:val="en-US" w:eastAsia="zh-CN"/>
            </w:rPr>
            <w:t>用户中心</w:t>
          </w:r>
          <w:r>
            <w:tab/>
          </w:r>
          <w:r>
            <w:fldChar w:fldCharType="begin"/>
          </w:r>
          <w:r>
            <w:instrText xml:space="preserve"> PAGEREF _Toc2895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1FCF44A9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_Toc15726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3.1、 </w:t>
          </w:r>
          <w:r>
            <w:rPr>
              <w:rFonts w:hint="eastAsia"/>
              <w:lang w:val="en-US" w:eastAsia="zh-CN"/>
            </w:rPr>
            <w:t>账户中心</w:t>
          </w:r>
          <w:r>
            <w:tab/>
          </w:r>
          <w:r>
            <w:fldChar w:fldCharType="begin"/>
          </w:r>
          <w:r>
            <w:instrText xml:space="preserve"> PAGEREF _Toc15726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2685F3D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_Toc12408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3.2、 </w:t>
          </w:r>
          <w:r>
            <w:rPr>
              <w:rFonts w:hint="eastAsia"/>
              <w:lang w:val="en-US" w:eastAsia="zh-CN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_Toc12408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2C7D33C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_Toc17945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3.3、 </w:t>
          </w:r>
          <w:r>
            <w:rPr>
              <w:rFonts w:hint="eastAsia"/>
              <w:lang w:val="en-US" w:eastAsia="zh-CN"/>
            </w:rPr>
            <w:t>我的订单</w:t>
          </w:r>
          <w:r>
            <w:tab/>
          </w:r>
          <w:r>
            <w:fldChar w:fldCharType="begin"/>
          </w:r>
          <w:r>
            <w:instrText xml:space="preserve"> PAGEREF _Toc17945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D99BE7F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_Toc22571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四、 </w:t>
          </w:r>
          <w:r>
            <w:rPr>
              <w:rFonts w:hint="eastAsia"/>
              <w:lang w:val="en-US" w:eastAsia="zh-CN"/>
            </w:rPr>
            <w:t>保函申请</w:t>
          </w:r>
          <w:r>
            <w:tab/>
          </w:r>
          <w:r>
            <w:fldChar w:fldCharType="begin"/>
          </w:r>
          <w:r>
            <w:instrText xml:space="preserve"> PAGEREF _Toc22571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C3A864E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_Toc2947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4.1、 </w:t>
          </w:r>
          <w:r>
            <w:rPr>
              <w:rFonts w:hint="eastAsia"/>
              <w:lang w:val="en-US" w:eastAsia="zh-CN"/>
            </w:rPr>
            <w:t>选择标段</w:t>
          </w:r>
          <w:r>
            <w:tab/>
          </w:r>
          <w:r>
            <w:fldChar w:fldCharType="begin"/>
          </w:r>
          <w:r>
            <w:instrText xml:space="preserve"> PAGEREF _Toc2947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AFF2DE9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_Toc19841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4.2、 </w:t>
          </w:r>
          <w:r>
            <w:rPr>
              <w:rFonts w:hint="eastAsia"/>
              <w:lang w:val="en-US" w:eastAsia="zh-CN"/>
            </w:rPr>
            <w:t>选择金融产品</w:t>
          </w:r>
          <w:r>
            <w:tab/>
          </w:r>
          <w:r>
            <w:fldChar w:fldCharType="begin"/>
          </w:r>
          <w:r>
            <w:instrText xml:space="preserve"> PAGEREF _Toc19841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B2CD959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_Toc26983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4.3、 </w:t>
          </w:r>
          <w:r>
            <w:rPr>
              <w:rFonts w:hint="eastAsia"/>
              <w:lang w:val="en-US" w:eastAsia="zh-CN"/>
            </w:rPr>
            <w:t>填写经办人信息</w:t>
          </w:r>
          <w:r>
            <w:tab/>
          </w:r>
          <w:r>
            <w:fldChar w:fldCharType="begin"/>
          </w:r>
          <w:r>
            <w:instrText xml:space="preserve"> PAGEREF _Toc26983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01740B14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_Toc20032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4.4、 </w:t>
          </w:r>
          <w:r>
            <w:rPr>
              <w:rFonts w:hint="eastAsia"/>
              <w:lang w:val="en-US" w:eastAsia="zh-CN"/>
            </w:rPr>
            <w:t>保费支付</w:t>
          </w:r>
          <w:r>
            <w:tab/>
          </w:r>
          <w:r>
            <w:fldChar w:fldCharType="begin"/>
          </w:r>
          <w:r>
            <w:instrText xml:space="preserve"> PAGEREF _Toc20032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0A2A5F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_Toc7047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4.5、 </w:t>
          </w:r>
          <w:r>
            <w:rPr>
              <w:rFonts w:hint="eastAsia"/>
              <w:lang w:val="en-US" w:eastAsia="zh-CN"/>
            </w:rPr>
            <w:t>保函发放</w:t>
          </w:r>
          <w:r>
            <w:tab/>
          </w:r>
          <w:r>
            <w:fldChar w:fldCharType="begin"/>
          </w:r>
          <w:r>
            <w:instrText xml:space="preserve"> PAGEREF _Toc7047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518BD88A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_Toc4082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五、 </w:t>
          </w:r>
          <w:r>
            <w:rPr>
              <w:rFonts w:hint="eastAsia"/>
              <w:lang w:val="en-US" w:eastAsia="zh-CN"/>
            </w:rPr>
            <w:t>发票管理</w:t>
          </w:r>
          <w:r>
            <w:tab/>
          </w:r>
          <w:r>
            <w:fldChar w:fldCharType="begin"/>
          </w:r>
          <w:r>
            <w:instrText xml:space="preserve"> PAGEREF _Toc4082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69C0F8D3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_Toc28385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六、 </w:t>
          </w:r>
          <w:r>
            <w:rPr>
              <w:rFonts w:hint="eastAsia"/>
              <w:lang w:val="en-US" w:eastAsia="zh-CN"/>
            </w:rPr>
            <w:t>退保</w:t>
          </w:r>
          <w:r>
            <w:tab/>
          </w:r>
          <w:r>
            <w:fldChar w:fldCharType="begin"/>
          </w:r>
          <w:r>
            <w:instrText xml:space="preserve"> PAGEREF _Toc28385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FABADF0">
          <w:r>
            <w:fldChar w:fldCharType="end"/>
          </w:r>
        </w:p>
      </w:sdtContent>
    </w:sdt>
    <w:p w14:paraId="7E1D5E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88D8B48">
      <w:pPr>
        <w:pStyle w:val="3"/>
        <w:bidi w:val="0"/>
        <w:rPr>
          <w:rFonts w:hint="eastAsia"/>
          <w:lang w:val="en-US" w:eastAsia="zh-CN"/>
        </w:rPr>
      </w:pPr>
      <w:bookmarkStart w:id="0" w:name="_Toc27717"/>
      <w:r>
        <w:rPr>
          <w:rFonts w:hint="eastAsia"/>
          <w:lang w:val="en-US" w:eastAsia="zh-CN"/>
        </w:rPr>
        <w:t>系统前期准备</w:t>
      </w:r>
      <w:bookmarkEnd w:id="0"/>
    </w:p>
    <w:p w14:paraId="78DADA65">
      <w:pPr>
        <w:pStyle w:val="4"/>
        <w:bidi w:val="0"/>
        <w:rPr>
          <w:rFonts w:hint="eastAsia"/>
          <w:lang w:val="en-US" w:eastAsia="zh-CN"/>
        </w:rPr>
      </w:pPr>
      <w:bookmarkStart w:id="1" w:name="_Toc346183639"/>
      <w:bookmarkStart w:id="2" w:name="_Toc387148289"/>
      <w:bookmarkStart w:id="3" w:name="_Toc16639"/>
      <w:bookmarkStart w:id="4" w:name="_Toc422146039"/>
      <w:bookmarkStart w:id="5" w:name="_Toc466902663"/>
      <w:bookmarkStart w:id="6" w:name="_Toc387133154"/>
      <w:r>
        <w:rPr>
          <w:rFonts w:hint="eastAsia"/>
          <w:lang w:val="en-US" w:eastAsia="zh-CN"/>
        </w:rPr>
        <w:t>浏览器配置</w:t>
      </w:r>
      <w:bookmarkEnd w:id="1"/>
      <w:bookmarkEnd w:id="2"/>
      <w:bookmarkEnd w:id="3"/>
      <w:bookmarkEnd w:id="4"/>
      <w:bookmarkEnd w:id="5"/>
      <w:bookmarkEnd w:id="6"/>
    </w:p>
    <w:p w14:paraId="6798A0E5">
      <w:pPr>
        <w:pStyle w:val="5"/>
        <w:bidi w:val="0"/>
        <w:rPr>
          <w:rFonts w:hint="eastAsia"/>
          <w:lang w:val="en-US" w:eastAsia="zh-CN"/>
        </w:rPr>
      </w:pPr>
      <w:bookmarkStart w:id="7" w:name="_Toc387133155"/>
      <w:bookmarkStart w:id="8" w:name="_Toc346183640"/>
      <w:bookmarkStart w:id="9" w:name="_Toc387148290"/>
      <w:bookmarkStart w:id="10" w:name="_Toc466902664"/>
      <w:bookmarkStart w:id="11" w:name="_Toc13953"/>
      <w:bookmarkStart w:id="12" w:name="_Toc422146040"/>
      <w:r>
        <w:rPr>
          <w:rFonts w:hint="eastAsia"/>
          <w:lang w:val="en-US" w:eastAsia="zh-CN"/>
        </w:rPr>
        <w:t>Internet选项</w:t>
      </w:r>
      <w:bookmarkEnd w:id="7"/>
      <w:bookmarkEnd w:id="8"/>
      <w:bookmarkEnd w:id="9"/>
      <w:bookmarkEnd w:id="10"/>
      <w:bookmarkEnd w:id="11"/>
      <w:bookmarkEnd w:id="12"/>
    </w:p>
    <w:p w14:paraId="3D522919">
      <w:pPr>
        <w:bidi w:val="0"/>
        <w:rPr>
          <w:rFonts w:hint="eastAsia"/>
        </w:rPr>
      </w:pPr>
      <w:r>
        <w:rPr>
          <w:rFonts w:hint="eastAsia"/>
        </w:rPr>
        <w:t>为了让系统插件能够正常工作，请按照以下步骤进行浏览器的配置。</w:t>
      </w:r>
    </w:p>
    <w:p w14:paraId="459470B7">
      <w:pPr>
        <w:bidi w:val="0"/>
        <w:rPr>
          <w:rFonts w:hint="eastAsia"/>
        </w:rPr>
      </w:pPr>
      <w:r>
        <w:rPr>
          <w:rFonts w:hint="eastAsia"/>
        </w:rPr>
        <w:t>1、打开浏览器，在“工具”菜单→“Internet选项”</w:t>
      </w:r>
    </w:p>
    <w:p w14:paraId="1F023CA1"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161665" cy="27940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198F">
      <w:pPr>
        <w:bidi w:val="0"/>
        <w:rPr>
          <w:rFonts w:hint="eastAsia"/>
        </w:rPr>
      </w:pPr>
      <w:r>
        <w:rPr>
          <w:rFonts w:hint="eastAsia"/>
        </w:rPr>
        <w:t>2、弹出对话框之后，请选择“安全”选项卡，具体的界面如下图：</w:t>
      </w:r>
    </w:p>
    <w:p w14:paraId="2A141A51"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655570" cy="2835275"/>
            <wp:effectExtent l="0" t="0" r="1143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794D">
      <w:pPr>
        <w:bidi w:val="0"/>
        <w:rPr>
          <w:rFonts w:hint="eastAsia"/>
        </w:rPr>
      </w:pPr>
      <w:r>
        <w:rPr>
          <w:rFonts w:hint="eastAsia"/>
        </w:rPr>
        <w:t>3、点击绿色的“受信任的站点”的图片，会看到如下图所示的界面：</w:t>
      </w:r>
    </w:p>
    <w:p w14:paraId="1B1011BF"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200400" cy="38214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225A">
      <w:pPr>
        <w:bidi w:val="0"/>
        <w:rPr>
          <w:rFonts w:hint="eastAsia"/>
        </w:rPr>
      </w:pPr>
      <w:r>
        <w:rPr>
          <w:rFonts w:hint="eastAsia"/>
        </w:rPr>
        <w:t>4、点击“站点” 按钮，出现如下对话框：</w:t>
      </w:r>
    </w:p>
    <w:p w14:paraId="786ECB50"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752215" cy="3094990"/>
            <wp:effectExtent l="0" t="0" r="63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A0CE">
      <w:pPr>
        <w:bidi w:val="0"/>
        <w:rPr>
          <w:rFonts w:hint="eastAsia"/>
        </w:rPr>
      </w:pPr>
      <w:r>
        <w:rPr>
          <w:rFonts w:hint="eastAsia"/>
        </w:rPr>
        <w:t>5、设置自定义安全级别，开放Activex的访问权限：</w:t>
      </w:r>
    </w:p>
    <w:p w14:paraId="3CE0BD0E"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73120" cy="41059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E053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①</w:t>
      </w:r>
      <w:r>
        <w:rPr>
          <w:rFonts w:hint="eastAsia"/>
          <w:lang w:val="en-US" w:eastAsia="zh-CN"/>
        </w:rPr>
        <w:t>会出现一个窗口，把其中的Activex控件和插件的设置全部改为启用。</w:t>
      </w:r>
    </w:p>
    <w:p w14:paraId="2F7EA308"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98520" cy="36315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7ABB">
      <w:pPr>
        <w:bidi w:val="0"/>
        <w:rPr>
          <w:rFonts w:hint="eastAsia"/>
        </w:rPr>
      </w:pPr>
      <w:r>
        <w:rPr>
          <w:rFonts w:hint="eastAsia"/>
        </w:rPr>
        <w:t>②文件下载设置，开放文件下载的权限：设置为启用。</w:t>
      </w:r>
    </w:p>
    <w:p w14:paraId="026B843E"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528060" cy="37096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AC30">
      <w:pPr>
        <w:pStyle w:val="5"/>
        <w:bidi w:val="0"/>
        <w:rPr>
          <w:rFonts w:hint="eastAsia"/>
          <w:lang w:val="en-US" w:eastAsia="zh-CN"/>
        </w:rPr>
      </w:pPr>
      <w:bookmarkStart w:id="13" w:name="_Toc387133156"/>
      <w:bookmarkStart w:id="14" w:name="_Toc346183641"/>
      <w:bookmarkStart w:id="15" w:name="_Toc422146041"/>
      <w:bookmarkStart w:id="16" w:name="_Toc466902665"/>
      <w:bookmarkStart w:id="17" w:name="_Toc387148291"/>
      <w:bookmarkStart w:id="18" w:name="_Toc13724"/>
      <w:r>
        <w:rPr>
          <w:rFonts w:hint="eastAsia"/>
          <w:lang w:val="en-US" w:eastAsia="zh-CN"/>
        </w:rPr>
        <w:t>关闭拦截工具</w:t>
      </w:r>
      <w:bookmarkEnd w:id="13"/>
      <w:bookmarkEnd w:id="14"/>
      <w:bookmarkEnd w:id="15"/>
      <w:bookmarkEnd w:id="16"/>
      <w:bookmarkEnd w:id="17"/>
      <w:bookmarkEnd w:id="18"/>
    </w:p>
    <w:p w14:paraId="4EA2F86A">
      <w:pPr>
        <w:bidi w:val="0"/>
        <w:rPr>
          <w:rFonts w:hint="eastAsia"/>
        </w:rPr>
      </w:pPr>
      <w:r>
        <w:rPr>
          <w:rFonts w:hint="eastAsia"/>
        </w:rPr>
        <w:t>上述操作完成后，如果系统中某些功能仍不能使用，请将拦截工具关闭再试用。比如在windows工具栏中关闭弹出窗口阻止程序的操作：</w:t>
      </w:r>
    </w:p>
    <w:p w14:paraId="59D862C2"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098415" cy="2320290"/>
            <wp:effectExtent l="0" t="0" r="698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10EE">
      <w:pPr>
        <w:pStyle w:val="3"/>
        <w:bidi w:val="0"/>
        <w:rPr>
          <w:rFonts w:hint="eastAsia"/>
          <w:lang w:val="en-US" w:eastAsia="zh-CN"/>
        </w:rPr>
      </w:pPr>
      <w:bookmarkStart w:id="19" w:name="_Toc10577"/>
      <w:r>
        <w:rPr>
          <w:rFonts w:hint="eastAsia"/>
          <w:lang w:val="en-US" w:eastAsia="zh-CN"/>
        </w:rPr>
        <w:t>平台登录</w:t>
      </w:r>
      <w:bookmarkEnd w:id="19"/>
    </w:p>
    <w:p w14:paraId="73DF453D"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登录内江市公共资源交易平台（http://ggzy.neijiang.gov.cn/），网站首页左侧选择“交易平台入口”，</w:t>
      </w:r>
    </w:p>
    <w:p w14:paraId="485B5070">
      <w:pPr>
        <w:pStyle w:val="2"/>
      </w:pPr>
      <w:r>
        <w:drawing>
          <wp:inline distT="0" distB="0" distL="114300" distR="114300">
            <wp:extent cx="5269865" cy="3982720"/>
            <wp:effectExtent l="0" t="0" r="698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7C85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然后选“建设工程入口”，选择“招标投标”身份进行登录；</w:t>
      </w:r>
    </w:p>
    <w:p w14:paraId="68AFB419">
      <w:pPr>
        <w:pStyle w:val="2"/>
      </w:pPr>
      <w:r>
        <w:drawing>
          <wp:inline distT="0" distB="0" distL="114300" distR="114300">
            <wp:extent cx="5271135" cy="2667000"/>
            <wp:effectExtent l="0" t="0" r="5715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7C73">
      <w:pPr>
        <w:pStyle w:val="2"/>
      </w:pPr>
    </w:p>
    <w:p w14:paraId="6851B2F8"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登录页面如下图</w:t>
      </w:r>
    </w:p>
    <w:p w14:paraId="0542B516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8120" cy="29552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B05C3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登录平台后如下图，进入【下载招标投标文件】-【缴纳技术服务费】，挑选需要参与的项目进行支付，缴纳“技术服务费”后，则可以进入【下载招标文件】菜单下载招标文件</w:t>
      </w:r>
    </w:p>
    <w:p w14:paraId="3558BA5F">
      <w:pPr>
        <w:pStyle w:val="2"/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41600"/>
            <wp:effectExtent l="0" t="0" r="10160" b="6350"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68B5">
      <w:pPr>
        <w:pStyle w:val="2"/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再次进入【投标保证金】菜单，选择相应的项目，选择项目后把的‘保函缴纳’，系统自动跳转进入“内江市公共资源交易数字金融服务平台”，或者点击上方“金融服务平台”菜单，进入内江市公共资源交易金融服务平台页面，</w:t>
      </w:r>
    </w:p>
    <w:p w14:paraId="2E3163B4">
      <w:pPr>
        <w:pStyle w:val="2"/>
        <w:numPr>
          <w:ilvl w:val="0"/>
          <w:numId w:val="0"/>
        </w:num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8435" cy="2284095"/>
            <wp:effectExtent l="0" t="0" r="18415" b="1905"/>
            <wp:docPr id="20" name="图片 20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i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B077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进入“金融服务平台后”如下图：</w:t>
      </w:r>
    </w:p>
    <w:p w14:paraId="27F6CE5F">
      <w:pPr>
        <w:pStyle w:val="2"/>
        <w:numPr>
          <w:ilvl w:val="0"/>
          <w:numId w:val="0"/>
        </w:numPr>
      </w:pPr>
    </w:p>
    <w:p w14:paraId="22084E13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970530"/>
            <wp:effectExtent l="0" t="0" r="889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07F5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6427405A">
      <w:pPr>
        <w:pStyle w:val="3"/>
        <w:bidi w:val="0"/>
        <w:rPr>
          <w:rFonts w:hint="eastAsia"/>
          <w:lang w:val="en-US" w:eastAsia="zh-CN"/>
        </w:rPr>
      </w:pPr>
      <w:bookmarkStart w:id="20" w:name="_Toc2895"/>
      <w:r>
        <w:rPr>
          <w:rFonts w:hint="eastAsia"/>
          <w:lang w:val="en-US" w:eastAsia="zh-CN"/>
        </w:rPr>
        <w:t>用户中心</w:t>
      </w:r>
      <w:bookmarkEnd w:id="20"/>
    </w:p>
    <w:p w14:paraId="40CB711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登录内江市公共资源交易保函平台后，点击右上角“用户中心”，进入用户中心界面，进一步对单位基本信息做完善，下图：</w:t>
      </w:r>
    </w:p>
    <w:p w14:paraId="0CB871BC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2976245"/>
            <wp:effectExtent l="0" t="0" r="8255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E1F2">
      <w:pPr>
        <w:pStyle w:val="4"/>
        <w:bidi w:val="0"/>
        <w:rPr>
          <w:rFonts w:hint="eastAsia"/>
          <w:lang w:val="en-US" w:eastAsia="zh-CN"/>
        </w:rPr>
      </w:pPr>
      <w:bookmarkStart w:id="21" w:name="_Toc15726"/>
      <w:r>
        <w:rPr>
          <w:rFonts w:hint="eastAsia"/>
          <w:lang w:val="en-US" w:eastAsia="zh-CN"/>
        </w:rPr>
        <w:t>账户中心</w:t>
      </w:r>
      <w:bookmarkEnd w:id="21"/>
    </w:p>
    <w:p w14:paraId="5FE1F83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基本功能：企业信息维护。投标人在登录电子保函平台后，保函平台会从交易平台获取企业的部分信息，投标人可以在“用户中心-企业信息”中完善企业其他信息。</w:t>
      </w:r>
    </w:p>
    <w:p w14:paraId="6AB3425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 w14:paraId="590BB9A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1、直接在企业信息页面完成企业基本信息，完成后点击“保存企业信息”，如下图：</w:t>
      </w:r>
    </w:p>
    <w:p w14:paraId="2FE08F09">
      <w:pPr>
        <w:pStyle w:val="2"/>
        <w:ind w:left="0" w:leftChars="0" w:firstLine="0" w:firstLineChars="0"/>
      </w:pPr>
      <w:r>
        <w:drawing>
          <wp:inline distT="0" distB="0" distL="114300" distR="114300">
            <wp:extent cx="5274945" cy="2970530"/>
            <wp:effectExtent l="0" t="0" r="825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2DCA">
      <w:pPr>
        <w:pStyle w:val="2"/>
        <w:ind w:left="0" w:leftChars="0" w:firstLine="0" w:firstLineChars="0"/>
      </w:pPr>
    </w:p>
    <w:p w14:paraId="19DC4A5D">
      <w:pPr>
        <w:pStyle w:val="4"/>
        <w:bidi w:val="0"/>
        <w:rPr>
          <w:rFonts w:hint="eastAsia"/>
          <w:lang w:val="en-US" w:eastAsia="zh-CN"/>
        </w:rPr>
      </w:pPr>
      <w:bookmarkStart w:id="22" w:name="_Toc12408"/>
      <w:r>
        <w:rPr>
          <w:rFonts w:hint="eastAsia"/>
          <w:lang w:val="en-US" w:eastAsia="zh-CN"/>
        </w:rPr>
        <w:t>我的消息</w:t>
      </w:r>
      <w:bookmarkEnd w:id="22"/>
    </w:p>
    <w:p w14:paraId="1E23A93B"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</w:rPr>
        <w:t>基本功能：</w:t>
      </w:r>
      <w:r>
        <w:rPr>
          <w:rFonts w:hint="eastAsia"/>
          <w:lang w:val="en-US" w:eastAsia="zh-CN"/>
        </w:rPr>
        <w:t>查看金融服务相关消息，点击对应消息可查看详情</w:t>
      </w:r>
    </w:p>
    <w:p w14:paraId="6CB0CAAB">
      <w:pPr>
        <w:bidi w:val="0"/>
        <w:ind w:left="0" w:leftChars="0" w:firstLine="0" w:firstLineChars="0"/>
      </w:pPr>
      <w:r>
        <w:drawing>
          <wp:inline distT="0" distB="0" distL="114300" distR="114300">
            <wp:extent cx="5269230" cy="2976245"/>
            <wp:effectExtent l="0" t="0" r="1270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4D67">
      <w:pPr>
        <w:pStyle w:val="4"/>
        <w:bidi w:val="0"/>
        <w:rPr>
          <w:rFonts w:hint="eastAsia"/>
          <w:lang w:val="en-US" w:eastAsia="zh-CN"/>
        </w:rPr>
      </w:pPr>
      <w:bookmarkStart w:id="23" w:name="_Toc17945"/>
      <w:r>
        <w:rPr>
          <w:rFonts w:hint="eastAsia"/>
          <w:lang w:val="en-US" w:eastAsia="zh-CN"/>
        </w:rPr>
        <w:t>我的订单</w:t>
      </w:r>
      <w:bookmarkEnd w:id="23"/>
    </w:p>
    <w:p w14:paraId="43351D7B">
      <w:pPr>
        <w:bidi w:val="0"/>
        <w:rPr>
          <w:rFonts w:hint="default"/>
          <w:lang w:val="en-US" w:eastAsia="zh-CN"/>
        </w:rPr>
      </w:pPr>
      <w:r>
        <w:rPr>
          <w:rFonts w:hint="eastAsia"/>
        </w:rPr>
        <w:t>基本功能：</w:t>
      </w:r>
      <w:r>
        <w:rPr>
          <w:rFonts w:hint="eastAsia"/>
          <w:lang w:val="en-US" w:eastAsia="zh-CN"/>
        </w:rPr>
        <w:t>查看我申请的金融服务信息，可查看具体申请流程</w:t>
      </w:r>
    </w:p>
    <w:p w14:paraId="312C5F4E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8120" cy="2922270"/>
            <wp:effectExtent l="0" t="0" r="5080" b="1143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893A">
      <w:pPr>
        <w:pStyle w:val="2"/>
        <w:ind w:left="0" w:leftChars="0" w:firstLine="0" w:firstLineChars="0"/>
      </w:pPr>
      <w:r>
        <w:drawing>
          <wp:inline distT="0" distB="0" distL="114300" distR="114300">
            <wp:extent cx="5278120" cy="2460625"/>
            <wp:effectExtent l="0" t="0" r="5080" b="317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F99C5">
      <w:pPr>
        <w:pStyle w:val="3"/>
        <w:tabs>
          <w:tab w:val="left" w:pos="0"/>
        </w:tabs>
        <w:bidi w:val="0"/>
        <w:ind w:left="0" w:leftChars="0" w:firstLineChars="0"/>
        <w:rPr>
          <w:rFonts w:hint="eastAsia"/>
          <w:lang w:val="en-US" w:eastAsia="zh-CN"/>
        </w:rPr>
      </w:pPr>
      <w:bookmarkStart w:id="24" w:name="_Toc511374925"/>
      <w:bookmarkStart w:id="25" w:name="_Toc22571"/>
      <w:bookmarkStart w:id="26" w:name="_Toc28288"/>
      <w:r>
        <w:rPr>
          <w:rFonts w:hint="eastAsia"/>
          <w:lang w:val="en-US" w:eastAsia="zh-CN"/>
        </w:rPr>
        <w:t>保函申请</w:t>
      </w:r>
      <w:bookmarkEnd w:id="24"/>
      <w:bookmarkEnd w:id="25"/>
      <w:bookmarkEnd w:id="26"/>
    </w:p>
    <w:p w14:paraId="777F4BE2">
      <w:pPr>
        <w:pStyle w:val="4"/>
        <w:tabs>
          <w:tab w:val="left" w:pos="0"/>
        </w:tabs>
        <w:bidi w:val="0"/>
        <w:rPr>
          <w:rFonts w:hint="default"/>
          <w:lang w:val="en-US" w:eastAsia="zh-CN"/>
        </w:rPr>
      </w:pPr>
      <w:bookmarkStart w:id="27" w:name="_Toc32572"/>
      <w:bookmarkStart w:id="28" w:name="_Toc2947"/>
      <w:r>
        <w:rPr>
          <w:rFonts w:hint="eastAsia"/>
          <w:lang w:val="en-US" w:eastAsia="zh-CN"/>
        </w:rPr>
        <w:t>选择标段</w:t>
      </w:r>
      <w:bookmarkEnd w:id="27"/>
      <w:bookmarkEnd w:id="28"/>
    </w:p>
    <w:p w14:paraId="65A6E638">
      <w:pPr>
        <w:bidi w:val="0"/>
      </w:pPr>
      <w:r>
        <w:rPr>
          <w:rFonts w:hint="eastAsia"/>
        </w:rPr>
        <w:t>操作步骤：</w:t>
      </w:r>
    </w:p>
    <w:p w14:paraId="5DAF01C5"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1、在</w:t>
      </w:r>
      <w:r>
        <w:rPr>
          <w:rFonts w:hint="eastAsia"/>
        </w:rPr>
        <w:t>保函平台</w:t>
      </w:r>
      <w:r>
        <w:rPr>
          <w:rFonts w:hint="eastAsia"/>
          <w:lang w:val="en-US" w:eastAsia="zh-CN"/>
        </w:rPr>
        <w:t>首页面，点击“立即申请”按钮，如下图：</w:t>
      </w:r>
    </w:p>
    <w:p w14:paraId="41E1B726">
      <w:pPr>
        <w:ind w:firstLine="0" w:firstLineChars="0"/>
      </w:pPr>
      <w:r>
        <w:drawing>
          <wp:inline distT="0" distB="0" distL="114300" distR="114300">
            <wp:extent cx="5274945" cy="2967355"/>
            <wp:effectExtent l="0" t="0" r="8255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AE8D"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2、进入标段选择页面，页面展示所有可申请保函的标段，选择对应标段，点击后方“立即申请”按钮，进入下一步，如下图：</w:t>
      </w:r>
    </w:p>
    <w:p w14:paraId="575C9633">
      <w:pPr>
        <w:pStyle w:val="2"/>
        <w:ind w:left="0" w:leftChars="0" w:firstLine="0" w:firstLineChars="0"/>
      </w:pPr>
      <w:r>
        <w:drawing>
          <wp:inline distT="0" distB="0" distL="114300" distR="114300">
            <wp:extent cx="5269230" cy="2958465"/>
            <wp:effectExtent l="0" t="0" r="1270" b="63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C67B"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29" w:name="_Toc29843"/>
      <w:bookmarkStart w:id="30" w:name="_Toc19841"/>
      <w:r>
        <w:rPr>
          <w:rFonts w:hint="eastAsia"/>
          <w:lang w:val="en-US" w:eastAsia="zh-CN"/>
        </w:rPr>
        <w:t>选择金融产品</w:t>
      </w:r>
      <w:bookmarkEnd w:id="29"/>
      <w:bookmarkEnd w:id="30"/>
    </w:p>
    <w:p w14:paraId="05B766A4">
      <w:pPr>
        <w:bidi w:val="0"/>
        <w:rPr>
          <w:rFonts w:hint="eastAsia" w:ascii="思源宋体 CN" w:hAnsi="思源宋体 CN" w:eastAsia="思源宋体 CN" w:cstheme="minorBidi"/>
          <w:szCs w:val="21"/>
          <w:lang w:val="en-US" w:eastAsia="zh-CN"/>
        </w:rPr>
      </w:pPr>
      <w:r>
        <w:rPr>
          <w:rFonts w:hint="eastAsia"/>
        </w:rPr>
        <w:t>操作步骤：</w:t>
      </w:r>
    </w:p>
    <w:p w14:paraId="17A6E12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1、选择标段后，进入选择金融产品页面（可以选择担保保函、保险保函、银行保函），选择相应的金融产品</w:t>
      </w:r>
      <w:r>
        <w:rPr>
          <w:rFonts w:hint="eastAsia" w:ascii="Times New Roman" w:hAnsi="Times New Roman" w:cs="Times New Roman"/>
          <w:color w:val="auto"/>
          <w:kern w:val="2"/>
          <w:sz w:val="21"/>
          <w:szCs w:val="24"/>
          <w:lang w:val="en-US" w:eastAsia="zh-CN" w:bidi="ar-SA"/>
        </w:rPr>
        <w:t>（以平安保险为例，其他机构根据系统提示操作即可）</w:t>
      </w:r>
      <w:r>
        <w:rPr>
          <w:rFonts w:hint="eastAsia"/>
          <w:lang w:val="en-US" w:eastAsia="zh-CN"/>
        </w:rPr>
        <w:t>，如下图。</w:t>
      </w:r>
    </w:p>
    <w:p w14:paraId="2C4453F5">
      <w:pPr>
        <w:ind w:left="0" w:leftChars="0" w:firstLine="0" w:firstLineChars="0"/>
      </w:pPr>
      <w:r>
        <w:drawing>
          <wp:inline distT="0" distB="0" distL="114300" distR="114300">
            <wp:extent cx="5271135" cy="3719195"/>
            <wp:effectExtent l="0" t="0" r="5715" b="146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83FB">
      <w:pPr>
        <w:pStyle w:val="2"/>
        <w:numPr>
          <w:ilvl w:val="0"/>
          <w:numId w:val="3"/>
        </w:numP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点击对应保函机构，查看产品名称、收费规则、基本要求信息，确认完成后点击“确认”按钮，如下图：</w:t>
      </w:r>
    </w:p>
    <w:p w14:paraId="7668CBB5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973070"/>
            <wp:effectExtent l="0" t="0" r="11430" b="1143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F47F"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31" w:name="_Toc25176"/>
      <w:bookmarkStart w:id="32" w:name="_Toc26983"/>
      <w:r>
        <w:rPr>
          <w:rFonts w:hint="eastAsia"/>
          <w:lang w:val="en-US" w:eastAsia="zh-CN"/>
        </w:rPr>
        <w:t>填写经办人信息</w:t>
      </w:r>
      <w:bookmarkEnd w:id="31"/>
      <w:bookmarkEnd w:id="32"/>
    </w:p>
    <w:p w14:paraId="0F37405D">
      <w:pPr>
        <w:bidi w:val="0"/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操作步骤：</w:t>
      </w:r>
    </w:p>
    <w:p w14:paraId="387A0C40"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在经办人信息页面，填写页面信息，点击“确认”按钮，进入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保函发放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页面。</w:t>
      </w:r>
      <w:r>
        <w:drawing>
          <wp:inline distT="0" distB="0" distL="114300" distR="114300">
            <wp:extent cx="5269865" cy="2961005"/>
            <wp:effectExtent l="0" t="0" r="635" b="1079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EBCC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945" cy="2958465"/>
            <wp:effectExtent l="0" t="0" r="8255" b="63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93BA"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33" w:name="_Toc11898"/>
      <w:bookmarkStart w:id="34" w:name="_Toc20032"/>
      <w:r>
        <w:rPr>
          <w:rFonts w:hint="eastAsia"/>
          <w:lang w:val="en-US" w:eastAsia="zh-CN"/>
        </w:rPr>
        <w:t>保费支付</w:t>
      </w:r>
      <w:bookmarkEnd w:id="33"/>
      <w:bookmarkEnd w:id="34"/>
    </w:p>
    <w:p w14:paraId="0C7FC13E">
      <w:pPr>
        <w:ind w:firstLine="420" w:firstLineChars="200"/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1、保费支付页面，选择支付银行，进行保费支付。</w:t>
      </w:r>
      <w:r>
        <w:drawing>
          <wp:inline distT="0" distB="0" distL="114300" distR="114300">
            <wp:extent cx="5273040" cy="2952115"/>
            <wp:effectExtent l="0" t="0" r="10160" b="698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9E76">
      <w:pPr>
        <w:ind w:firstLine="420" w:firstLineChars="200"/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2、保费支付完成后，点击“查询到账”按钮，查询保费到账情况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；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查询到账成功后，系统生成保函，会自动跳转到保函发放页面。</w:t>
      </w:r>
    </w:p>
    <w:p w14:paraId="0B6C6268">
      <w:pPr>
        <w:pStyle w:val="2"/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kern w:val="2"/>
          <w:sz w:val="21"/>
          <w:szCs w:val="24"/>
          <w:lang w:val="en-US" w:eastAsia="zh-CN" w:bidi="ar-SA"/>
        </w:rPr>
        <w:t>备注：</w:t>
      </w:r>
      <w:r>
        <w:rPr>
          <w:rFonts w:hint="eastAsia" w:ascii="Times New Roman" w:hAnsi="Times New Roman" w:cs="Times New Roman"/>
          <w:color w:val="auto"/>
          <w:kern w:val="2"/>
          <w:sz w:val="21"/>
          <w:szCs w:val="24"/>
          <w:lang w:val="en-US" w:eastAsia="zh-CN" w:bidi="ar-SA"/>
        </w:rPr>
        <w:t>缴纳费用后一定要进行查询到账操作，确认缴纳支付成功，以免出现支付不成功的情况，引起投标无效，切记！</w:t>
      </w:r>
      <w:bookmarkStart w:id="39" w:name="_GoBack"/>
      <w:bookmarkEnd w:id="39"/>
    </w:p>
    <w:p w14:paraId="272E0BEC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964180"/>
            <wp:effectExtent l="0" t="0" r="11430" b="762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2629">
      <w:pPr>
        <w:ind w:left="0" w:leftChars="0" w:firstLine="0" w:firstLineChars="0"/>
        <w:rPr>
          <w:rFonts w:hint="default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 xml:space="preserve">   注：如果没有自动跳转，可以点击“下一步”按钮，进入保函发放页面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，以上页面为项目开标前的情况，此时能够看到密文保单。</w:t>
      </w:r>
    </w:p>
    <w:p w14:paraId="3E0FC11F"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35" w:name="_Toc20754"/>
      <w:bookmarkStart w:id="36" w:name="_Toc7047"/>
      <w:r>
        <w:rPr>
          <w:rFonts w:hint="eastAsia"/>
          <w:lang w:val="en-US" w:eastAsia="zh-CN"/>
        </w:rPr>
        <w:t>保函发放</w:t>
      </w:r>
      <w:bookmarkEnd w:id="35"/>
      <w:bookmarkEnd w:id="36"/>
    </w:p>
    <w:p w14:paraId="5A987004">
      <w:pPr>
        <w:ind w:left="0" w:leftChars="0" w:firstLine="420" w:firstLineChars="200"/>
        <w:rPr>
          <w:rFonts w:hint="default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保函发放页面，点击“在线预览”、“下载PDF”按钮，可以在线查看、下载对应文件。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完成保函手续费支付后，点击“查询出函结果”进行查询。</w:t>
      </w:r>
    </w:p>
    <w:p w14:paraId="1536EDFB"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2940050"/>
            <wp:effectExtent l="0" t="0" r="10160" b="635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E293">
      <w:pPr>
        <w:pStyle w:val="2"/>
        <w:ind w:left="0" w:leftChars="0" w:firstLine="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以上图片展示的是开标后的保单情况，此时已经可以查看明文保单。</w:t>
      </w:r>
    </w:p>
    <w:p w14:paraId="7BC4701E">
      <w:pPr>
        <w:pStyle w:val="3"/>
        <w:tabs>
          <w:tab w:val="left" w:pos="0"/>
        </w:tabs>
        <w:bidi w:val="0"/>
        <w:ind w:left="0" w:leftChars="0" w:firstLineChars="0"/>
        <w:rPr>
          <w:rFonts w:hint="default" w:eastAsia="思源宋体 CN Light"/>
          <w:lang w:val="en-US" w:eastAsia="zh-CN"/>
        </w:rPr>
      </w:pPr>
      <w:bookmarkStart w:id="37" w:name="_Toc4082"/>
      <w:r>
        <w:rPr>
          <w:rFonts w:hint="eastAsia"/>
          <w:lang w:val="en-US" w:eastAsia="zh-CN"/>
        </w:rPr>
        <w:t>发票管理</w:t>
      </w:r>
      <w:bookmarkEnd w:id="37"/>
    </w:p>
    <w:p w14:paraId="1FC28722">
      <w:pPr>
        <w:rPr>
          <w:rFonts w:hint="default"/>
          <w:highlight w:val="none"/>
          <w:lang w:val="en-US" w:eastAsia="zh-CN"/>
        </w:rPr>
      </w:pPr>
      <w:r>
        <w:rPr>
          <w:rFonts w:hint="default"/>
          <w:lang w:val="en-US" w:eastAsia="zh-CN"/>
        </w:rPr>
        <w:t>功能说明</w:t>
      </w:r>
      <w:r>
        <w:rPr>
          <w:rFonts w:hint="default"/>
          <w:highlight w:val="none"/>
          <w:lang w:val="en-US" w:eastAsia="zh-CN"/>
        </w:rPr>
        <w:t>：</w:t>
      </w:r>
      <w:r>
        <w:rPr>
          <w:rFonts w:hint="eastAsia"/>
          <w:highlight w:val="none"/>
          <w:lang w:val="en-US" w:eastAsia="zh-CN"/>
        </w:rPr>
        <w:t>开具发票</w:t>
      </w:r>
      <w:r>
        <w:rPr>
          <w:rFonts w:hint="default"/>
          <w:highlight w:val="none"/>
          <w:lang w:val="en-US" w:eastAsia="zh-CN"/>
        </w:rPr>
        <w:t>。</w:t>
      </w:r>
    </w:p>
    <w:p w14:paraId="334C2BB6">
      <w:pPr>
        <w:pStyle w:val="2"/>
        <w:rPr>
          <w:rFonts w:hint="default"/>
          <w:lang w:val="en-US" w:eastAsia="zh-CN"/>
        </w:rPr>
      </w:pPr>
      <w:r>
        <w:rPr>
          <w:rFonts w:hint="eastAsia"/>
          <w:highlight w:val="none"/>
          <w:lang w:val="en-US" w:eastAsia="zh-CN"/>
        </w:rPr>
        <w:t>注意：发票开具需在开标时间之后进行。</w:t>
      </w:r>
    </w:p>
    <w:p w14:paraId="55B816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操作步骤：</w:t>
      </w:r>
    </w:p>
    <w:p w14:paraId="4AC3A4A7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在保函发放页面下的申请详情菜单栏，点击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发票管理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按钮，如下图：</w:t>
      </w:r>
    </w:p>
    <w:p w14:paraId="0249AFBC"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2927985"/>
            <wp:effectExtent l="0" t="0" r="63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1AD8">
      <w:pPr>
        <w:numPr>
          <w:ilvl w:val="0"/>
          <w:numId w:val="4"/>
        </w:num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在发票管理页面填写企业相关信息后，点击“提交申请”按钮，即可开具发票。如下图：</w:t>
      </w:r>
    </w:p>
    <w:p w14:paraId="536E618E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5580" cy="2636520"/>
            <wp:effectExtent l="0" t="0" r="762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C0B2">
      <w:pPr>
        <w:pStyle w:val="3"/>
        <w:tabs>
          <w:tab w:val="left" w:pos="0"/>
        </w:tabs>
        <w:bidi w:val="0"/>
        <w:ind w:left="0" w:leftChars="0" w:firstLineChars="0"/>
        <w:rPr>
          <w:rFonts w:hint="eastAsia"/>
          <w:lang w:val="en-US" w:eastAsia="zh-CN"/>
        </w:rPr>
      </w:pPr>
      <w:bookmarkStart w:id="38" w:name="_Toc28385"/>
      <w:r>
        <w:rPr>
          <w:rFonts w:hint="eastAsia"/>
          <w:lang w:val="en-US" w:eastAsia="zh-CN"/>
        </w:rPr>
        <w:t>退保</w:t>
      </w:r>
      <w:bookmarkEnd w:id="38"/>
    </w:p>
    <w:p w14:paraId="43B573A3">
      <w:pPr>
        <w:bidi w:val="0"/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功能说明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进行退保申请。</w:t>
      </w:r>
    </w:p>
    <w:p w14:paraId="22078247">
      <w:pPr>
        <w:pStyle w:val="2"/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操作步骤：</w:t>
      </w:r>
    </w:p>
    <w:p w14:paraId="081C1183"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在保函发放页面下的申请详情菜单栏，点击退保申请后面的“退保”按钮</w:t>
      </w:r>
      <w:r>
        <w:rPr>
          <w:rFonts w:hint="eastAsia"/>
          <w:lang w:val="en-US" w:eastAsia="zh-CN"/>
        </w:rPr>
        <w:t>，如下图：</w:t>
      </w:r>
    </w:p>
    <w:p w14:paraId="7BACF5B0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4945" cy="2973070"/>
            <wp:effectExtent l="0" t="0" r="825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2630"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填写退保原因后，点击下面的“提交退保申请”按钮，如下图：</w:t>
      </w:r>
    </w:p>
    <w:p w14:paraId="29B84EFD">
      <w:pPr>
        <w:pStyle w:val="2"/>
        <w:ind w:left="0" w:leftChars="0" w:firstLine="0" w:firstLineChars="0"/>
      </w:pPr>
      <w:r>
        <w:drawing>
          <wp:inline distT="0" distB="0" distL="114300" distR="114300">
            <wp:extent cx="5272405" cy="2059305"/>
            <wp:effectExtent l="0" t="0" r="10795" b="1079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BA73">
      <w:pPr>
        <w:pStyle w:val="2"/>
        <w:ind w:left="0" w:leftChars="0" w:firstLine="0" w:firstLineChars="0"/>
      </w:pPr>
      <w:r>
        <w:drawing>
          <wp:inline distT="0" distB="0" distL="114300" distR="114300">
            <wp:extent cx="5267960" cy="2230755"/>
            <wp:effectExtent l="0" t="0" r="2540" b="4445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FC6E"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信息完善并提交退保后，显示退保成功，如下图：</w:t>
      </w:r>
    </w:p>
    <w:p w14:paraId="79FBD471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955290"/>
            <wp:effectExtent l="0" t="0" r="11430" b="381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1" w:type="default"/>
      <w:footerReference r:id="rId12" w:type="default"/>
      <w:pgSz w:w="11906" w:h="16838"/>
      <w:pgMar w:top="1440" w:right="1797" w:bottom="1440" w:left="1797" w:header="680" w:footer="737" w:gutter="0"/>
      <w:pgNumType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B025B6"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56CA5"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A7987">
    <w:pPr>
      <w:pStyle w:val="1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FCD7F">
    <w:pPr>
      <w:pStyle w:val="15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hint="default" w:ascii="Times New Roman" w:hAnsi="Times New Roman"/>
        <w:sz w:val="18"/>
        <w:lang w:val="en-US" w:eastAsia="zh-CN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CB41BE">
                          <w:pPr>
                            <w:pStyle w:val="15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JUQ0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JUQ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CB41BE">
                    <w:pPr>
                      <w:pStyle w:val="15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6837F">
    <w:pPr>
      <w:pStyle w:val="1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59B3C"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BEE2AA">
    <w:pPr>
      <w:pStyle w:val="1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A63453">
    <w:pPr>
      <w:pStyle w:val="16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default" w:ascii="Times New Roman" w:hAnsi="Times New Roman" w:eastAsia="思源宋体 CN Light"/>
        <w:sz w:val="18"/>
        <w:lang w:val="en-US" w:eastAsia="zh-CN"/>
      </w:rPr>
    </w:pPr>
    <w:r>
      <w:rPr>
        <w:rFonts w:hint="eastAsia"/>
        <w:sz w:val="18"/>
        <w:lang w:eastAsia="zh-CN"/>
      </w:rPr>
      <w:t>内江市</w:t>
    </w:r>
    <w:r>
      <w:rPr>
        <w:rFonts w:hint="eastAsia" w:ascii="Times New Roman" w:hAnsi="Times New Roman" w:eastAsia="思源宋体 CN Light"/>
        <w:sz w:val="18"/>
      </w:rPr>
      <w:t>公共资源电子交易平台电子保函用户</w:t>
    </w:r>
    <w:r>
      <w:rPr>
        <w:rFonts w:hint="eastAsia"/>
        <w:sz w:val="18"/>
        <w:lang w:val="en-US" w:eastAsia="zh-CN"/>
      </w:rPr>
      <w:t>办事指南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A37C53"/>
    <w:multiLevelType w:val="multilevel"/>
    <w:tmpl w:val="D6A37C5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Times New Roman" w:hAnsi="Times New Roman" w:eastAsia="微软雅黑 Light" w:cs="宋体"/>
        <w:b/>
        <w:sz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21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559D08C"/>
    <w:multiLevelType w:val="singleLevel"/>
    <w:tmpl w:val="E559D08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BEC20B4"/>
    <w:multiLevelType w:val="singleLevel"/>
    <w:tmpl w:val="EBEC20B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7CBB695"/>
    <w:multiLevelType w:val="singleLevel"/>
    <w:tmpl w:val="F7CBB695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96E883C"/>
    <w:multiLevelType w:val="singleLevel"/>
    <w:tmpl w:val="596E883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zODJhODBjNjY5MzdjOTBjNmVlMTgwYTNjYTA5ZDgifQ=="/>
  </w:docVars>
  <w:rsids>
    <w:rsidRoot w:val="001D47A1"/>
    <w:rsid w:val="00070478"/>
    <w:rsid w:val="000A0CD8"/>
    <w:rsid w:val="000C0A90"/>
    <w:rsid w:val="000D2347"/>
    <w:rsid w:val="001032A1"/>
    <w:rsid w:val="00165621"/>
    <w:rsid w:val="001B55C4"/>
    <w:rsid w:val="001D47A1"/>
    <w:rsid w:val="001E58C2"/>
    <w:rsid w:val="00203EF0"/>
    <w:rsid w:val="002851A1"/>
    <w:rsid w:val="0029262E"/>
    <w:rsid w:val="002C215D"/>
    <w:rsid w:val="00384618"/>
    <w:rsid w:val="003A1E1B"/>
    <w:rsid w:val="003A3418"/>
    <w:rsid w:val="003F0446"/>
    <w:rsid w:val="00437A4E"/>
    <w:rsid w:val="004437AE"/>
    <w:rsid w:val="00454CA8"/>
    <w:rsid w:val="00460ACE"/>
    <w:rsid w:val="004D302F"/>
    <w:rsid w:val="0057425F"/>
    <w:rsid w:val="005951E8"/>
    <w:rsid w:val="00624284"/>
    <w:rsid w:val="00670A7A"/>
    <w:rsid w:val="00716380"/>
    <w:rsid w:val="0078599F"/>
    <w:rsid w:val="007D0546"/>
    <w:rsid w:val="00861998"/>
    <w:rsid w:val="008E496E"/>
    <w:rsid w:val="0098291F"/>
    <w:rsid w:val="009A5D6F"/>
    <w:rsid w:val="00A00014"/>
    <w:rsid w:val="00A0153D"/>
    <w:rsid w:val="00A60912"/>
    <w:rsid w:val="00A60E83"/>
    <w:rsid w:val="00AB26E2"/>
    <w:rsid w:val="00AB79E2"/>
    <w:rsid w:val="00AF2096"/>
    <w:rsid w:val="00B35B52"/>
    <w:rsid w:val="00C5002E"/>
    <w:rsid w:val="00CC352E"/>
    <w:rsid w:val="00CC623B"/>
    <w:rsid w:val="00D37FBC"/>
    <w:rsid w:val="00D64523"/>
    <w:rsid w:val="00DC4A3F"/>
    <w:rsid w:val="00DD6B35"/>
    <w:rsid w:val="00E9770B"/>
    <w:rsid w:val="00F05135"/>
    <w:rsid w:val="00F06C55"/>
    <w:rsid w:val="00F244C1"/>
    <w:rsid w:val="00F51C44"/>
    <w:rsid w:val="00F8392C"/>
    <w:rsid w:val="00F934ED"/>
    <w:rsid w:val="00FE0136"/>
    <w:rsid w:val="01234FA2"/>
    <w:rsid w:val="019B14DA"/>
    <w:rsid w:val="01C66C73"/>
    <w:rsid w:val="0217353A"/>
    <w:rsid w:val="02776CE3"/>
    <w:rsid w:val="02CA31F8"/>
    <w:rsid w:val="0336760E"/>
    <w:rsid w:val="035102A9"/>
    <w:rsid w:val="03610E7A"/>
    <w:rsid w:val="036266F7"/>
    <w:rsid w:val="03FF36AD"/>
    <w:rsid w:val="041D5AEC"/>
    <w:rsid w:val="046B4F88"/>
    <w:rsid w:val="046F2081"/>
    <w:rsid w:val="05223B55"/>
    <w:rsid w:val="05606153"/>
    <w:rsid w:val="056E1AED"/>
    <w:rsid w:val="05B86355"/>
    <w:rsid w:val="062715DD"/>
    <w:rsid w:val="06382A34"/>
    <w:rsid w:val="068E2F6E"/>
    <w:rsid w:val="06A65800"/>
    <w:rsid w:val="06F90373"/>
    <w:rsid w:val="07B25156"/>
    <w:rsid w:val="07D23A36"/>
    <w:rsid w:val="07EA7189"/>
    <w:rsid w:val="07F74E09"/>
    <w:rsid w:val="080E2693"/>
    <w:rsid w:val="082574F4"/>
    <w:rsid w:val="08351D86"/>
    <w:rsid w:val="08CE2C09"/>
    <w:rsid w:val="08ED18BF"/>
    <w:rsid w:val="099832C5"/>
    <w:rsid w:val="09A2305B"/>
    <w:rsid w:val="09E869F3"/>
    <w:rsid w:val="09F26927"/>
    <w:rsid w:val="0A026859"/>
    <w:rsid w:val="0A0330CE"/>
    <w:rsid w:val="0A822A1F"/>
    <w:rsid w:val="0AAE3C98"/>
    <w:rsid w:val="0B2F3DAE"/>
    <w:rsid w:val="0B3F1D02"/>
    <w:rsid w:val="0B49732E"/>
    <w:rsid w:val="0B65128B"/>
    <w:rsid w:val="0B7B1635"/>
    <w:rsid w:val="0C052C56"/>
    <w:rsid w:val="0C0D67D1"/>
    <w:rsid w:val="0C43205E"/>
    <w:rsid w:val="0C6D104E"/>
    <w:rsid w:val="0CBC44D7"/>
    <w:rsid w:val="0CEA6D84"/>
    <w:rsid w:val="0D1637A7"/>
    <w:rsid w:val="0D79342D"/>
    <w:rsid w:val="0E3F33FA"/>
    <w:rsid w:val="0E544AB7"/>
    <w:rsid w:val="0E816F42"/>
    <w:rsid w:val="0F556CD0"/>
    <w:rsid w:val="0F5B6CBB"/>
    <w:rsid w:val="0F6A6825"/>
    <w:rsid w:val="0FEB21AC"/>
    <w:rsid w:val="100D0B75"/>
    <w:rsid w:val="101D05B4"/>
    <w:rsid w:val="10AD2DF3"/>
    <w:rsid w:val="10FD7EEB"/>
    <w:rsid w:val="11023A9D"/>
    <w:rsid w:val="113B4736"/>
    <w:rsid w:val="12367275"/>
    <w:rsid w:val="12807C2E"/>
    <w:rsid w:val="128D640F"/>
    <w:rsid w:val="12D56EFF"/>
    <w:rsid w:val="12FF1D59"/>
    <w:rsid w:val="132042E2"/>
    <w:rsid w:val="137064AC"/>
    <w:rsid w:val="13B74C2B"/>
    <w:rsid w:val="13BB0498"/>
    <w:rsid w:val="13D62095"/>
    <w:rsid w:val="13DB0FF3"/>
    <w:rsid w:val="143E34F2"/>
    <w:rsid w:val="14551415"/>
    <w:rsid w:val="14813BA0"/>
    <w:rsid w:val="14941B78"/>
    <w:rsid w:val="14C1683B"/>
    <w:rsid w:val="14C3439C"/>
    <w:rsid w:val="14F5170A"/>
    <w:rsid w:val="15520564"/>
    <w:rsid w:val="158B6011"/>
    <w:rsid w:val="15F24B6B"/>
    <w:rsid w:val="15FB4849"/>
    <w:rsid w:val="1621375B"/>
    <w:rsid w:val="16676734"/>
    <w:rsid w:val="16D05CBB"/>
    <w:rsid w:val="17143789"/>
    <w:rsid w:val="172E5AA0"/>
    <w:rsid w:val="17DA0476"/>
    <w:rsid w:val="17F47078"/>
    <w:rsid w:val="190423D0"/>
    <w:rsid w:val="192500AB"/>
    <w:rsid w:val="199B4AE5"/>
    <w:rsid w:val="19DD64F8"/>
    <w:rsid w:val="19F319C1"/>
    <w:rsid w:val="1A275F57"/>
    <w:rsid w:val="1A6D3439"/>
    <w:rsid w:val="1AB71885"/>
    <w:rsid w:val="1AD61F69"/>
    <w:rsid w:val="1AFF2500"/>
    <w:rsid w:val="1B2250C2"/>
    <w:rsid w:val="1B371DA8"/>
    <w:rsid w:val="1B8C0B60"/>
    <w:rsid w:val="1B9D1B3E"/>
    <w:rsid w:val="1BAA1245"/>
    <w:rsid w:val="1BC12154"/>
    <w:rsid w:val="1BCE0555"/>
    <w:rsid w:val="1C067B59"/>
    <w:rsid w:val="1C0C78FE"/>
    <w:rsid w:val="1C0F3933"/>
    <w:rsid w:val="1C4E5742"/>
    <w:rsid w:val="1C866E9C"/>
    <w:rsid w:val="1CDD02E5"/>
    <w:rsid w:val="1CEC667F"/>
    <w:rsid w:val="1D325D68"/>
    <w:rsid w:val="1DAB703A"/>
    <w:rsid w:val="1DB1420A"/>
    <w:rsid w:val="1DCB7276"/>
    <w:rsid w:val="1DE10257"/>
    <w:rsid w:val="1DE81131"/>
    <w:rsid w:val="1E266437"/>
    <w:rsid w:val="1F513DE3"/>
    <w:rsid w:val="1F8A1A35"/>
    <w:rsid w:val="209835ED"/>
    <w:rsid w:val="20B40647"/>
    <w:rsid w:val="20BE59EF"/>
    <w:rsid w:val="212913B6"/>
    <w:rsid w:val="21B02765"/>
    <w:rsid w:val="21B61D78"/>
    <w:rsid w:val="21ED7F9B"/>
    <w:rsid w:val="22B97B62"/>
    <w:rsid w:val="22C643B4"/>
    <w:rsid w:val="22CC3B62"/>
    <w:rsid w:val="22FA4707"/>
    <w:rsid w:val="230D4ACE"/>
    <w:rsid w:val="233B5E30"/>
    <w:rsid w:val="23423E00"/>
    <w:rsid w:val="23E53B09"/>
    <w:rsid w:val="24331B6B"/>
    <w:rsid w:val="24B31C89"/>
    <w:rsid w:val="25004E56"/>
    <w:rsid w:val="25491D80"/>
    <w:rsid w:val="25AA130C"/>
    <w:rsid w:val="263927CF"/>
    <w:rsid w:val="26583170"/>
    <w:rsid w:val="266C03AF"/>
    <w:rsid w:val="26CD0F49"/>
    <w:rsid w:val="2714543F"/>
    <w:rsid w:val="27674AAB"/>
    <w:rsid w:val="27AC0A3D"/>
    <w:rsid w:val="27AF61AB"/>
    <w:rsid w:val="27C6754A"/>
    <w:rsid w:val="29141158"/>
    <w:rsid w:val="29232DF0"/>
    <w:rsid w:val="294D4496"/>
    <w:rsid w:val="29F51563"/>
    <w:rsid w:val="2A1F1A33"/>
    <w:rsid w:val="2A2D5DBD"/>
    <w:rsid w:val="2A3156A5"/>
    <w:rsid w:val="2A673421"/>
    <w:rsid w:val="2A6B4E8D"/>
    <w:rsid w:val="2A950AF7"/>
    <w:rsid w:val="2AA07A66"/>
    <w:rsid w:val="2ACA7549"/>
    <w:rsid w:val="2B1F03DA"/>
    <w:rsid w:val="2B3D7BBD"/>
    <w:rsid w:val="2C024719"/>
    <w:rsid w:val="2C0D1609"/>
    <w:rsid w:val="2C645B59"/>
    <w:rsid w:val="2C683230"/>
    <w:rsid w:val="2D030EDE"/>
    <w:rsid w:val="2D41077E"/>
    <w:rsid w:val="2D687F33"/>
    <w:rsid w:val="2D95568E"/>
    <w:rsid w:val="2D9E58E9"/>
    <w:rsid w:val="2DC96AD9"/>
    <w:rsid w:val="2E1C440C"/>
    <w:rsid w:val="2E2C50E4"/>
    <w:rsid w:val="2E392CAA"/>
    <w:rsid w:val="2E504533"/>
    <w:rsid w:val="2E5E2491"/>
    <w:rsid w:val="2EC76378"/>
    <w:rsid w:val="2F123539"/>
    <w:rsid w:val="2F8510F1"/>
    <w:rsid w:val="2F971630"/>
    <w:rsid w:val="2FC62485"/>
    <w:rsid w:val="301B72F6"/>
    <w:rsid w:val="302926C9"/>
    <w:rsid w:val="30544CD1"/>
    <w:rsid w:val="30BF286A"/>
    <w:rsid w:val="30D1272F"/>
    <w:rsid w:val="313E22AF"/>
    <w:rsid w:val="315671B6"/>
    <w:rsid w:val="31BA2A4B"/>
    <w:rsid w:val="31DA609B"/>
    <w:rsid w:val="32183062"/>
    <w:rsid w:val="32460E96"/>
    <w:rsid w:val="3258623F"/>
    <w:rsid w:val="3261127C"/>
    <w:rsid w:val="32712264"/>
    <w:rsid w:val="32AB340D"/>
    <w:rsid w:val="32C05570"/>
    <w:rsid w:val="32DF0DBA"/>
    <w:rsid w:val="32E346BF"/>
    <w:rsid w:val="331F3604"/>
    <w:rsid w:val="339D53CE"/>
    <w:rsid w:val="34D01DFE"/>
    <w:rsid w:val="35753CCB"/>
    <w:rsid w:val="35D960CB"/>
    <w:rsid w:val="363C2D71"/>
    <w:rsid w:val="36B85B9B"/>
    <w:rsid w:val="36D82E65"/>
    <w:rsid w:val="36FC07B2"/>
    <w:rsid w:val="3704092D"/>
    <w:rsid w:val="373057DF"/>
    <w:rsid w:val="37D63C0B"/>
    <w:rsid w:val="37E2462C"/>
    <w:rsid w:val="38207193"/>
    <w:rsid w:val="382D2753"/>
    <w:rsid w:val="383E1227"/>
    <w:rsid w:val="386E3E28"/>
    <w:rsid w:val="38864338"/>
    <w:rsid w:val="389D15FF"/>
    <w:rsid w:val="38C15358"/>
    <w:rsid w:val="38E820A7"/>
    <w:rsid w:val="38F370E1"/>
    <w:rsid w:val="39140ACE"/>
    <w:rsid w:val="398D64DA"/>
    <w:rsid w:val="399B7668"/>
    <w:rsid w:val="39AC48C7"/>
    <w:rsid w:val="39DE513A"/>
    <w:rsid w:val="3ACC7331"/>
    <w:rsid w:val="3B1C3BC3"/>
    <w:rsid w:val="3B31090C"/>
    <w:rsid w:val="3BA060E8"/>
    <w:rsid w:val="3C047EF6"/>
    <w:rsid w:val="3C090159"/>
    <w:rsid w:val="3C491076"/>
    <w:rsid w:val="3C5E67DE"/>
    <w:rsid w:val="3CCE416F"/>
    <w:rsid w:val="3CD532D9"/>
    <w:rsid w:val="3CEE641C"/>
    <w:rsid w:val="3DC257F4"/>
    <w:rsid w:val="3DD325FD"/>
    <w:rsid w:val="3E36211E"/>
    <w:rsid w:val="3E3E1739"/>
    <w:rsid w:val="3E9C7C4C"/>
    <w:rsid w:val="3EAA4013"/>
    <w:rsid w:val="3EE36345"/>
    <w:rsid w:val="3F041A1C"/>
    <w:rsid w:val="3F5B281F"/>
    <w:rsid w:val="3F861A73"/>
    <w:rsid w:val="3F94562E"/>
    <w:rsid w:val="3FC87068"/>
    <w:rsid w:val="3FD569A4"/>
    <w:rsid w:val="3FF65866"/>
    <w:rsid w:val="40715247"/>
    <w:rsid w:val="40AE1D79"/>
    <w:rsid w:val="412C11FB"/>
    <w:rsid w:val="422A6912"/>
    <w:rsid w:val="429937DB"/>
    <w:rsid w:val="42FE4357"/>
    <w:rsid w:val="42FE464E"/>
    <w:rsid w:val="43333C76"/>
    <w:rsid w:val="433B75D3"/>
    <w:rsid w:val="434D7A62"/>
    <w:rsid w:val="43591BE7"/>
    <w:rsid w:val="439C23C0"/>
    <w:rsid w:val="44186EBC"/>
    <w:rsid w:val="44503B4D"/>
    <w:rsid w:val="44790767"/>
    <w:rsid w:val="44961DB9"/>
    <w:rsid w:val="44CC35F4"/>
    <w:rsid w:val="45BD5E50"/>
    <w:rsid w:val="45EE003D"/>
    <w:rsid w:val="460249B5"/>
    <w:rsid w:val="46272A1F"/>
    <w:rsid w:val="464056DE"/>
    <w:rsid w:val="46982CA0"/>
    <w:rsid w:val="46C115B5"/>
    <w:rsid w:val="4700463F"/>
    <w:rsid w:val="47042F70"/>
    <w:rsid w:val="473D7756"/>
    <w:rsid w:val="473F59F6"/>
    <w:rsid w:val="47994B18"/>
    <w:rsid w:val="47B43697"/>
    <w:rsid w:val="47B800A0"/>
    <w:rsid w:val="480A06F3"/>
    <w:rsid w:val="487C58BB"/>
    <w:rsid w:val="48823EB1"/>
    <w:rsid w:val="48B239D7"/>
    <w:rsid w:val="48BC1BC5"/>
    <w:rsid w:val="494E3E01"/>
    <w:rsid w:val="49777751"/>
    <w:rsid w:val="49DA50A0"/>
    <w:rsid w:val="49DD7880"/>
    <w:rsid w:val="4A002898"/>
    <w:rsid w:val="4A5B4585"/>
    <w:rsid w:val="4A8E6AA3"/>
    <w:rsid w:val="4AD427B1"/>
    <w:rsid w:val="4AF63B1B"/>
    <w:rsid w:val="4B4E000B"/>
    <w:rsid w:val="4B9219A4"/>
    <w:rsid w:val="4C113459"/>
    <w:rsid w:val="4C2749B6"/>
    <w:rsid w:val="4C534D73"/>
    <w:rsid w:val="4C9322A2"/>
    <w:rsid w:val="4CCA1178"/>
    <w:rsid w:val="4CE237A9"/>
    <w:rsid w:val="4CE85E08"/>
    <w:rsid w:val="4CF16FBF"/>
    <w:rsid w:val="4CF66875"/>
    <w:rsid w:val="4CFA168C"/>
    <w:rsid w:val="4D0573A2"/>
    <w:rsid w:val="4D2D394E"/>
    <w:rsid w:val="4D8A3599"/>
    <w:rsid w:val="4EBC217E"/>
    <w:rsid w:val="4ECC76C0"/>
    <w:rsid w:val="4ED50883"/>
    <w:rsid w:val="4EF43AEA"/>
    <w:rsid w:val="4F0E3727"/>
    <w:rsid w:val="50030556"/>
    <w:rsid w:val="5008758F"/>
    <w:rsid w:val="50606065"/>
    <w:rsid w:val="50EB498A"/>
    <w:rsid w:val="50F10951"/>
    <w:rsid w:val="513C03F7"/>
    <w:rsid w:val="51453C2F"/>
    <w:rsid w:val="51461BED"/>
    <w:rsid w:val="515151DC"/>
    <w:rsid w:val="5152517D"/>
    <w:rsid w:val="515E425A"/>
    <w:rsid w:val="51C74473"/>
    <w:rsid w:val="529D1F83"/>
    <w:rsid w:val="52FB2E29"/>
    <w:rsid w:val="531A2BE5"/>
    <w:rsid w:val="538C532C"/>
    <w:rsid w:val="53C81FB3"/>
    <w:rsid w:val="53DF178B"/>
    <w:rsid w:val="54C5090E"/>
    <w:rsid w:val="54E034A9"/>
    <w:rsid w:val="54EA43DF"/>
    <w:rsid w:val="55596642"/>
    <w:rsid w:val="55CB258C"/>
    <w:rsid w:val="5670396D"/>
    <w:rsid w:val="57203BD4"/>
    <w:rsid w:val="574F23DF"/>
    <w:rsid w:val="57556651"/>
    <w:rsid w:val="57684BE6"/>
    <w:rsid w:val="57793E53"/>
    <w:rsid w:val="57816111"/>
    <w:rsid w:val="57907B36"/>
    <w:rsid w:val="57D411E0"/>
    <w:rsid w:val="580E1CFE"/>
    <w:rsid w:val="582575F2"/>
    <w:rsid w:val="58365A10"/>
    <w:rsid w:val="58DF21D4"/>
    <w:rsid w:val="58F86B18"/>
    <w:rsid w:val="5918091C"/>
    <w:rsid w:val="591D3BB8"/>
    <w:rsid w:val="59771E3D"/>
    <w:rsid w:val="5A276A0F"/>
    <w:rsid w:val="5A350E61"/>
    <w:rsid w:val="5A4C294A"/>
    <w:rsid w:val="5ADF17FA"/>
    <w:rsid w:val="5AF86B50"/>
    <w:rsid w:val="5B474A7B"/>
    <w:rsid w:val="5B701F6D"/>
    <w:rsid w:val="5C4A7C2E"/>
    <w:rsid w:val="5C6F4F4F"/>
    <w:rsid w:val="5C771A0D"/>
    <w:rsid w:val="5CD73231"/>
    <w:rsid w:val="5DB6564B"/>
    <w:rsid w:val="5E191B29"/>
    <w:rsid w:val="5E314733"/>
    <w:rsid w:val="5E4612F1"/>
    <w:rsid w:val="5E6E467A"/>
    <w:rsid w:val="5F2C1650"/>
    <w:rsid w:val="5F2D7A30"/>
    <w:rsid w:val="5F4130B8"/>
    <w:rsid w:val="5F775A6D"/>
    <w:rsid w:val="5F7D340C"/>
    <w:rsid w:val="5FBC5A09"/>
    <w:rsid w:val="5FC36960"/>
    <w:rsid w:val="5FD711F2"/>
    <w:rsid w:val="6014227F"/>
    <w:rsid w:val="604870E5"/>
    <w:rsid w:val="60585BA4"/>
    <w:rsid w:val="60C54C59"/>
    <w:rsid w:val="60D208DF"/>
    <w:rsid w:val="61367191"/>
    <w:rsid w:val="613949F4"/>
    <w:rsid w:val="618056ED"/>
    <w:rsid w:val="626205B2"/>
    <w:rsid w:val="63320005"/>
    <w:rsid w:val="637C0089"/>
    <w:rsid w:val="63D2023D"/>
    <w:rsid w:val="641A5E5E"/>
    <w:rsid w:val="641A5F6F"/>
    <w:rsid w:val="646E283B"/>
    <w:rsid w:val="64A91A47"/>
    <w:rsid w:val="64E362C2"/>
    <w:rsid w:val="65051BC0"/>
    <w:rsid w:val="6528785E"/>
    <w:rsid w:val="657C778C"/>
    <w:rsid w:val="658927A5"/>
    <w:rsid w:val="65931E6A"/>
    <w:rsid w:val="65F00A05"/>
    <w:rsid w:val="660A31A3"/>
    <w:rsid w:val="66237CDF"/>
    <w:rsid w:val="668D1EAD"/>
    <w:rsid w:val="66B21D03"/>
    <w:rsid w:val="66C66EBF"/>
    <w:rsid w:val="66CA4486"/>
    <w:rsid w:val="671A07A6"/>
    <w:rsid w:val="67394D3D"/>
    <w:rsid w:val="67587747"/>
    <w:rsid w:val="679974B3"/>
    <w:rsid w:val="67E0317C"/>
    <w:rsid w:val="6830018C"/>
    <w:rsid w:val="68496C3D"/>
    <w:rsid w:val="68586660"/>
    <w:rsid w:val="687F51D8"/>
    <w:rsid w:val="696929B1"/>
    <w:rsid w:val="6979237F"/>
    <w:rsid w:val="69901D8D"/>
    <w:rsid w:val="69B57B91"/>
    <w:rsid w:val="69DD0BB7"/>
    <w:rsid w:val="6A8272A0"/>
    <w:rsid w:val="6B1F7304"/>
    <w:rsid w:val="6B3958F8"/>
    <w:rsid w:val="6BB01935"/>
    <w:rsid w:val="6BB7162D"/>
    <w:rsid w:val="6BDB744E"/>
    <w:rsid w:val="6BFF56E6"/>
    <w:rsid w:val="6C442812"/>
    <w:rsid w:val="6C4D5884"/>
    <w:rsid w:val="6C5242AD"/>
    <w:rsid w:val="6CFD6301"/>
    <w:rsid w:val="6D0B3137"/>
    <w:rsid w:val="6E187B1D"/>
    <w:rsid w:val="6E557678"/>
    <w:rsid w:val="6EB42D11"/>
    <w:rsid w:val="6EC120B0"/>
    <w:rsid w:val="6ED150C6"/>
    <w:rsid w:val="6EE07376"/>
    <w:rsid w:val="6EF84EC7"/>
    <w:rsid w:val="6F5A613F"/>
    <w:rsid w:val="6F883019"/>
    <w:rsid w:val="6FA42945"/>
    <w:rsid w:val="6FD7537A"/>
    <w:rsid w:val="70110709"/>
    <w:rsid w:val="701518C7"/>
    <w:rsid w:val="701B44F1"/>
    <w:rsid w:val="704D6FD3"/>
    <w:rsid w:val="708E6408"/>
    <w:rsid w:val="70DF5A31"/>
    <w:rsid w:val="70ED018E"/>
    <w:rsid w:val="70FF3B97"/>
    <w:rsid w:val="71572056"/>
    <w:rsid w:val="717752F4"/>
    <w:rsid w:val="718166AD"/>
    <w:rsid w:val="71BA1F61"/>
    <w:rsid w:val="71DD04F6"/>
    <w:rsid w:val="71F9646F"/>
    <w:rsid w:val="71FC5D75"/>
    <w:rsid w:val="71FD35E8"/>
    <w:rsid w:val="72366D03"/>
    <w:rsid w:val="725554A1"/>
    <w:rsid w:val="72D72856"/>
    <w:rsid w:val="734C5AE0"/>
    <w:rsid w:val="738741D6"/>
    <w:rsid w:val="73BC1844"/>
    <w:rsid w:val="74103305"/>
    <w:rsid w:val="74382D6C"/>
    <w:rsid w:val="74DB7694"/>
    <w:rsid w:val="750824AA"/>
    <w:rsid w:val="75177560"/>
    <w:rsid w:val="7584461A"/>
    <w:rsid w:val="75EC58A6"/>
    <w:rsid w:val="760A0324"/>
    <w:rsid w:val="767A1C01"/>
    <w:rsid w:val="76DC7164"/>
    <w:rsid w:val="777D7467"/>
    <w:rsid w:val="777E78D7"/>
    <w:rsid w:val="77EC2B6D"/>
    <w:rsid w:val="77FD4709"/>
    <w:rsid w:val="78527701"/>
    <w:rsid w:val="78615CFA"/>
    <w:rsid w:val="78617380"/>
    <w:rsid w:val="78935A08"/>
    <w:rsid w:val="78B80B4F"/>
    <w:rsid w:val="79184FFC"/>
    <w:rsid w:val="7961229D"/>
    <w:rsid w:val="7970708F"/>
    <w:rsid w:val="79941265"/>
    <w:rsid w:val="79C36394"/>
    <w:rsid w:val="7A197CF7"/>
    <w:rsid w:val="7A1B7F50"/>
    <w:rsid w:val="7A3515FB"/>
    <w:rsid w:val="7A4D7A4C"/>
    <w:rsid w:val="7A822B50"/>
    <w:rsid w:val="7AB51178"/>
    <w:rsid w:val="7AF10309"/>
    <w:rsid w:val="7B6C5E6F"/>
    <w:rsid w:val="7B7B222D"/>
    <w:rsid w:val="7BAB0063"/>
    <w:rsid w:val="7C3133CB"/>
    <w:rsid w:val="7C956D0F"/>
    <w:rsid w:val="7CC838B9"/>
    <w:rsid w:val="7CEF1EF8"/>
    <w:rsid w:val="7D1A0A23"/>
    <w:rsid w:val="7D245C6D"/>
    <w:rsid w:val="7D2A172F"/>
    <w:rsid w:val="7D906BA0"/>
    <w:rsid w:val="7DF33C9C"/>
    <w:rsid w:val="7DF95E23"/>
    <w:rsid w:val="7E3570AD"/>
    <w:rsid w:val="7E5455D0"/>
    <w:rsid w:val="7EB117B7"/>
    <w:rsid w:val="7EB87930"/>
    <w:rsid w:val="7EE2050E"/>
    <w:rsid w:val="7EE25AB5"/>
    <w:rsid w:val="7F7867D6"/>
    <w:rsid w:val="7FA1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31"/>
    <w:qFormat/>
    <w:uiPriority w:val="0"/>
    <w:pPr>
      <w:keepNext w:val="0"/>
      <w:keepLines w:val="0"/>
      <w:numPr>
        <w:ilvl w:val="0"/>
        <w:numId w:val="1"/>
      </w:numPr>
      <w:tabs>
        <w:tab w:val="left" w:pos="425"/>
        <w:tab w:val="clear" w:pos="0"/>
      </w:tabs>
      <w:spacing w:before="120" w:after="120"/>
      <w:ind w:left="0" w:firstLine="0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32"/>
    <w:qFormat/>
    <w:uiPriority w:val="0"/>
    <w:pPr>
      <w:keepNext w:val="0"/>
      <w:keepLines w:val="0"/>
      <w:numPr>
        <w:ilvl w:val="1"/>
        <w:numId w:val="1"/>
      </w:numPr>
      <w:tabs>
        <w:tab w:val="left" w:pos="567"/>
        <w:tab w:val="clear" w:pos="0"/>
      </w:tabs>
      <w:spacing w:before="120" w:after="120"/>
      <w:ind w:left="0" w:firstLine="0"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35"/>
    <w:qFormat/>
    <w:uiPriority w:val="0"/>
    <w:pPr>
      <w:keepNext w:val="0"/>
      <w:keepLines w:val="0"/>
      <w:numPr>
        <w:ilvl w:val="2"/>
        <w:numId w:val="1"/>
      </w:numPr>
      <w:tabs>
        <w:tab w:val="left" w:pos="567"/>
        <w:tab w:val="clear" w:pos="0"/>
      </w:tabs>
      <w:spacing w:before="120" w:after="120"/>
      <w:ind w:left="0" w:firstLine="0"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36"/>
    <w:qFormat/>
    <w:uiPriority w:val="0"/>
    <w:pPr>
      <w:keepNext/>
      <w:keepLines/>
      <w:numPr>
        <w:ilvl w:val="3"/>
        <w:numId w:val="1"/>
      </w:numPr>
      <w:tabs>
        <w:tab w:val="left" w:pos="504"/>
        <w:tab w:val="clear" w:pos="420"/>
      </w:tabs>
      <w:spacing w:before="120" w:after="120"/>
      <w:ind w:left="0"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37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left="0"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12">
    <w:name w:val="annotation text"/>
    <w:basedOn w:val="1"/>
    <w:semiHidden/>
    <w:unhideWhenUsed/>
    <w:qFormat/>
    <w:uiPriority w:val="99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spacing w:line="240" w:lineRule="auto"/>
      <w:ind w:left="0" w:leftChars="0" w:firstLine="840" w:firstLineChars="400"/>
    </w:pPr>
  </w:style>
  <w:style w:type="paragraph" w:styleId="14">
    <w:name w:val="Balloon Text"/>
    <w:basedOn w:val="1"/>
    <w:link w:val="42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spacing w:line="240" w:lineRule="auto"/>
      <w:ind w:firstLine="0" w:firstLineChars="0"/>
    </w:pPr>
  </w:style>
  <w:style w:type="paragraph" w:styleId="18">
    <w:name w:val="toc 2"/>
    <w:basedOn w:val="1"/>
    <w:next w:val="1"/>
    <w:unhideWhenUsed/>
    <w:qFormat/>
    <w:uiPriority w:val="39"/>
    <w:pPr>
      <w:spacing w:line="240" w:lineRule="auto"/>
      <w:ind w:left="0" w:leftChars="0"/>
    </w:pPr>
  </w:style>
  <w:style w:type="paragraph" w:styleId="19">
    <w:name w:val="Title"/>
    <w:basedOn w:val="1"/>
    <w:next w:val="1"/>
    <w:qFormat/>
    <w:uiPriority w:val="10"/>
    <w:pPr>
      <w:ind w:firstLine="0" w:firstLineChars="0"/>
      <w:jc w:val="center"/>
    </w:pPr>
    <w:rPr>
      <w:rFonts w:cstheme="majorBidi"/>
      <w:b/>
      <w:bCs/>
      <w:spacing w:val="200"/>
      <w:sz w:val="32"/>
      <w:szCs w:val="32"/>
    </w:rPr>
  </w:style>
  <w:style w:type="table" w:styleId="21">
    <w:name w:val="Table Grid"/>
    <w:basedOn w:val="20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Strong"/>
    <w:basedOn w:val="22"/>
    <w:qFormat/>
    <w:uiPriority w:val="22"/>
    <w:rPr>
      <w:b/>
    </w:rPr>
  </w:style>
  <w:style w:type="character" w:styleId="24">
    <w:name w:val="FollowedHyperlink"/>
    <w:basedOn w:val="22"/>
    <w:semiHidden/>
    <w:unhideWhenUsed/>
    <w:qFormat/>
    <w:uiPriority w:val="99"/>
    <w:rPr>
      <w:color w:val="428BCA"/>
      <w:u w:val="none"/>
    </w:rPr>
  </w:style>
  <w:style w:type="character" w:styleId="25">
    <w:name w:val="HTML Definition"/>
    <w:basedOn w:val="22"/>
    <w:semiHidden/>
    <w:unhideWhenUsed/>
    <w:qFormat/>
    <w:uiPriority w:val="99"/>
    <w:rPr>
      <w:i/>
    </w:rPr>
  </w:style>
  <w:style w:type="character" w:styleId="26">
    <w:name w:val="Hyperlink"/>
    <w:basedOn w:val="22"/>
    <w:unhideWhenUsed/>
    <w:qFormat/>
    <w:uiPriority w:val="99"/>
    <w:rPr>
      <w:rFonts w:ascii="Times New Roman" w:hAnsi="Times New Roman" w:eastAsia="思源宋体 CN Light"/>
      <w:color w:val="auto"/>
      <w:sz w:val="21"/>
      <w:u w:val="single"/>
    </w:rPr>
  </w:style>
  <w:style w:type="character" w:styleId="27">
    <w:name w:val="HTML Code"/>
    <w:basedOn w:val="22"/>
    <w:semiHidden/>
    <w:unhideWhenUsed/>
    <w:qFormat/>
    <w:uiPriority w:val="99"/>
    <w:rPr>
      <w:rFonts w:ascii="Consolas" w:hAnsi="Consolas" w:eastAsia="Consolas" w:cs="Consolas"/>
      <w:color w:val="C7254E"/>
      <w:sz w:val="21"/>
      <w:szCs w:val="21"/>
      <w:shd w:val="clear" w:fill="F9F2F4"/>
    </w:rPr>
  </w:style>
  <w:style w:type="character" w:styleId="28">
    <w:name w:val="HTML Cite"/>
    <w:basedOn w:val="22"/>
    <w:semiHidden/>
    <w:unhideWhenUsed/>
    <w:qFormat/>
    <w:uiPriority w:val="99"/>
  </w:style>
  <w:style w:type="character" w:styleId="29">
    <w:name w:val="HTML Keyboard"/>
    <w:basedOn w:val="22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styleId="30">
    <w:name w:val="HTML Sample"/>
    <w:basedOn w:val="22"/>
    <w:semiHidden/>
    <w:unhideWhenUsed/>
    <w:qFormat/>
    <w:uiPriority w:val="99"/>
    <w:rPr>
      <w:rFonts w:ascii="serif" w:hAnsi="serif" w:eastAsia="serif" w:cs="serif"/>
      <w:sz w:val="21"/>
      <w:szCs w:val="21"/>
    </w:rPr>
  </w:style>
  <w:style w:type="character" w:customStyle="1" w:styleId="31">
    <w:name w:val="标题 1 Char"/>
    <w:basedOn w:val="22"/>
    <w:link w:val="3"/>
    <w:qFormat/>
    <w:uiPriority w:val="0"/>
    <w:rPr>
      <w:rFonts w:ascii="Times New Roman" w:hAnsi="Times New Roman" w:eastAsia="思源宋体 CN Light" w:cs="Times New Roman"/>
      <w:b/>
      <w:bCs/>
      <w:kern w:val="44"/>
      <w:sz w:val="32"/>
      <w:szCs w:val="28"/>
    </w:rPr>
  </w:style>
  <w:style w:type="character" w:customStyle="1" w:styleId="32">
    <w:name w:val="标题 2 Char"/>
    <w:basedOn w:val="22"/>
    <w:link w:val="4"/>
    <w:qFormat/>
    <w:uiPriority w:val="0"/>
    <w:rPr>
      <w:rFonts w:ascii="Times New Roman" w:hAnsi="Times New Roman" w:eastAsia="思源宋体 CN Light" w:cs="Times New Roman"/>
      <w:b/>
      <w:bCs/>
      <w:sz w:val="30"/>
      <w:szCs w:val="32"/>
    </w:rPr>
  </w:style>
  <w:style w:type="character" w:customStyle="1" w:styleId="33">
    <w:name w:val="页眉 Char"/>
    <w:basedOn w:val="22"/>
    <w:link w:val="16"/>
    <w:qFormat/>
    <w:uiPriority w:val="99"/>
    <w:rPr>
      <w:sz w:val="18"/>
      <w:szCs w:val="18"/>
    </w:rPr>
  </w:style>
  <w:style w:type="character" w:customStyle="1" w:styleId="34">
    <w:name w:val="页脚 Char"/>
    <w:basedOn w:val="22"/>
    <w:link w:val="15"/>
    <w:qFormat/>
    <w:uiPriority w:val="99"/>
    <w:rPr>
      <w:sz w:val="18"/>
      <w:szCs w:val="18"/>
    </w:rPr>
  </w:style>
  <w:style w:type="character" w:customStyle="1" w:styleId="35">
    <w:name w:val="标题 3 Char"/>
    <w:basedOn w:val="22"/>
    <w:link w:val="5"/>
    <w:qFormat/>
    <w:uiPriority w:val="0"/>
    <w:rPr>
      <w:rFonts w:ascii="Times New Roman" w:hAnsi="Times New Roman" w:eastAsia="思源宋体 CN Light" w:cs="Times New Roman"/>
      <w:b/>
      <w:bCs/>
      <w:sz w:val="28"/>
      <w:szCs w:val="18"/>
    </w:rPr>
  </w:style>
  <w:style w:type="character" w:customStyle="1" w:styleId="36">
    <w:name w:val="标题 4 Char"/>
    <w:basedOn w:val="22"/>
    <w:link w:val="6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37">
    <w:name w:val="标题 5 Char"/>
    <w:basedOn w:val="22"/>
    <w:link w:val="7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paragraph" w:customStyle="1" w:styleId="38">
    <w:name w:val="列出段落1"/>
    <w:basedOn w:val="1"/>
    <w:qFormat/>
    <w:uiPriority w:val="34"/>
  </w:style>
  <w:style w:type="paragraph" w:customStyle="1" w:styleId="39">
    <w:name w:val="2"/>
    <w:basedOn w:val="1"/>
    <w:link w:val="40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40">
    <w:name w:val="2 Char"/>
    <w:basedOn w:val="22"/>
    <w:link w:val="39"/>
    <w:qFormat/>
    <w:uiPriority w:val="0"/>
    <w:rPr>
      <w:rFonts w:ascii="Times New Roman" w:hAnsi="Times New Roman" w:eastAsia="宋体" w:cs="Times New Roman"/>
      <w:spacing w:val="4"/>
      <w:szCs w:val="24"/>
    </w:rPr>
  </w:style>
  <w:style w:type="paragraph" w:styleId="41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42">
    <w:name w:val="批注框文本 Char"/>
    <w:basedOn w:val="22"/>
    <w:link w:val="1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44">
    <w:name w:val="1"/>
    <w:basedOn w:val="1"/>
    <w:link w:val="45"/>
    <w:qFormat/>
    <w:uiPriority w:val="0"/>
    <w:pPr>
      <w:ind w:firstLine="0" w:firstLineChars="0"/>
    </w:pPr>
  </w:style>
  <w:style w:type="character" w:customStyle="1" w:styleId="45">
    <w:name w:val="1 Char"/>
    <w:basedOn w:val="22"/>
    <w:link w:val="44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6">
    <w:name w:val="TOC 标题1"/>
    <w:basedOn w:val="3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  <w:style w:type="paragraph" w:customStyle="1" w:styleId="47">
    <w:name w:val="图表a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rFonts w:hint="eastAsia" w:ascii="Times New Roman" w:hAnsi="Times New Roman" w:eastAsia="思源宋体 CN Light" w:cs="思源宋体 CN"/>
      <w:spacing w:val="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image" Target="media/image4.png"/><Relationship Id="rId16" Type="http://schemas.openxmlformats.org/officeDocument/2006/relationships/image" Target="media/image3.jpe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1D3FC3-F3CB-4DF6-A5E2-26532817D7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19</Pages>
  <Words>1728</Words>
  <Characters>1831</Characters>
  <Lines>17</Lines>
  <Paragraphs>4</Paragraphs>
  <TotalTime>3</TotalTime>
  <ScaleCrop>false</ScaleCrop>
  <LinksUpToDate>false</LinksUpToDate>
  <CharactersWithSpaces>1903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2016-11-14T08:27:00Z</dcterms:created>
  <dc:creator>chenyj</dc:creator>
  <cp:lastModifiedBy>夏天</cp:lastModifiedBy>
  <dcterms:modified xsi:type="dcterms:W3CDTF">2024-11-11T09:21:44Z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5C4CDAF64C9849EAB8DCBBAAA059E24C_13</vt:lpwstr>
  </property>
</Properties>
</file>